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0DC50A83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7F40CABF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6F21D3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B528A8E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lastRenderedPageBreak/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6F21D3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4AFAC94" w14:textId="125789A5" w:rsidR="00DA3EDA" w:rsidRPr="006F21D3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a)</w:t>
      </w:r>
      <w:r w:rsidRPr="006F21D3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6F21D3" w:rsidRDefault="00DA3EDA" w:rsidP="00DA3EDA">
      <w:pPr>
        <w:spacing w:line="360" w:lineRule="auto"/>
        <w:ind w:left="42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b)</w:t>
      </w:r>
      <w:r w:rsidRPr="006F21D3">
        <w:rPr>
          <w:rFonts w:ascii="Garamond" w:hAnsi="Garamond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31634783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5CBC0415" w14:textId="667DCF6B" w:rsidR="00912FDB" w:rsidRPr="006F21D3" w:rsidRDefault="00912FDB" w:rsidP="00912FDB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se è previsto il sopralluogo obbligatorio, dichiara di aver preso visione dei luoghi e allega il certificato rilasciato dalla stazione appaltante attestante la presa visione dello stato dei luoghi in cui deve essere eseguita la prestazione;</w:t>
      </w:r>
    </w:p>
    <w:p w14:paraId="3BB5CF9C" w14:textId="77777777" w:rsidR="00912FDB" w:rsidRPr="006F21D3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1D7D2848" w14:textId="22BBA03D" w:rsidR="00912FDB" w:rsidRPr="006F21D3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6F21D3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76AD2F68" w14:textId="77777777" w:rsidR="00912FDB" w:rsidRPr="006F21D3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lastRenderedPageBreak/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6F21D3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>
        <w:rPr>
          <w:rFonts w:ascii="Garamond" w:hAnsi="Garamond"/>
          <w:sz w:val="20"/>
          <w:szCs w:val="20"/>
        </w:rPr>
        <w:t>;</w:t>
      </w:r>
    </w:p>
    <w:p w14:paraId="5B8FFDD5" w14:textId="68F8CFF6" w:rsidR="00F6227D" w:rsidRPr="006F21D3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possedere i requisiti di idoneità tecnico-professionale di cui all’art. 26, comma 1, lett. a), del D.lgs 81/2008 e s.m.i., in relazione alla specificità del contratto il cui oggetto e modalità di esecuzione dichiara parimenti di ben conoscere</w:t>
      </w:r>
      <w:r w:rsidR="00CF77BF">
        <w:rPr>
          <w:rFonts w:ascii="Garamond" w:hAnsi="Garamond"/>
          <w:sz w:val="20"/>
          <w:szCs w:val="20"/>
        </w:rPr>
        <w:t>;</w:t>
      </w:r>
    </w:p>
    <w:p w14:paraId="71CDA556" w14:textId="09F72C6C" w:rsidR="00A11707" w:rsidRPr="006F21D3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</w:t>
      </w:r>
      <w:r w:rsidR="002E75E1" w:rsidRPr="006F21D3">
        <w:rPr>
          <w:rFonts w:ascii="Garamond" w:hAnsi="Garamond"/>
          <w:sz w:val="20"/>
          <w:szCs w:val="20"/>
        </w:rPr>
        <w:t>la Committente</w:t>
      </w:r>
      <w:r w:rsidRPr="006F21D3">
        <w:rPr>
          <w:rFonts w:ascii="Garamond" w:hAnsi="Garamond"/>
          <w:sz w:val="20"/>
          <w:szCs w:val="20"/>
        </w:rPr>
        <w:t xml:space="preserve">, ai fini delle comunicazioni di cui all’art. 76 del D.Lgs. 50/2016, ad inviare le suddette comunicazioni nonché </w:t>
      </w:r>
      <w:r w:rsidR="002E75E1" w:rsidRPr="006F21D3">
        <w:rPr>
          <w:rFonts w:ascii="Garamond" w:hAnsi="Garamond"/>
          <w:sz w:val="20"/>
          <w:szCs w:val="20"/>
        </w:rPr>
        <w:t>eventuali ulteriori richieste</w:t>
      </w:r>
      <w:r w:rsidRPr="006F21D3">
        <w:rPr>
          <w:rFonts w:ascii="Garamond" w:hAnsi="Garamond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6F21D3">
        <w:rPr>
          <w:rFonts w:ascii="Garamond" w:hAnsi="Garamond"/>
          <w:sz w:val="20"/>
          <w:szCs w:val="20"/>
        </w:rPr>
        <w:t>’impresa) del Portale Acquisti</w:t>
      </w:r>
      <w:r w:rsidR="00A93F42" w:rsidRPr="006F21D3">
        <w:rPr>
          <w:rFonts w:ascii="Garamond" w:hAnsi="Garamond"/>
          <w:sz w:val="20"/>
          <w:szCs w:val="20"/>
        </w:rPr>
        <w:t>.</w:t>
      </w:r>
    </w:p>
    <w:p w14:paraId="5EFBDECA" w14:textId="18B9EF42" w:rsidR="009B038F" w:rsidRPr="006F21D3" w:rsidRDefault="009B038F" w:rsidP="00A93F42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F3524"/>
    <w:rsid w:val="005F5553"/>
    <w:rsid w:val="005F57A2"/>
    <w:rsid w:val="00600032"/>
    <w:rsid w:val="006153AA"/>
    <w:rsid w:val="00616E8D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1513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Grazzi, Silvia</cp:lastModifiedBy>
  <cp:revision>17</cp:revision>
  <dcterms:created xsi:type="dcterms:W3CDTF">2019-11-08T08:40:00Z</dcterms:created>
  <dcterms:modified xsi:type="dcterms:W3CDTF">2021-02-03T13:55:00Z</dcterms:modified>
</cp:coreProperties>
</file>